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4"/>
        <w:gridCol w:w="1400"/>
        <w:gridCol w:w="1210"/>
        <w:gridCol w:w="1235"/>
        <w:gridCol w:w="1273"/>
        <w:gridCol w:w="1334"/>
        <w:gridCol w:w="1260"/>
        <w:gridCol w:w="1315"/>
        <w:gridCol w:w="1486"/>
        <w:gridCol w:w="1223"/>
      </w:tblGrid>
      <w:tr w:rsidR="000C3AF7" w:rsidRPr="000C3AF7" w14:paraId="0E1BB4CB" w14:textId="77777777" w:rsidTr="00DF0EDC">
        <w:tc>
          <w:tcPr>
            <w:tcW w:w="14400" w:type="dxa"/>
            <w:gridSpan w:val="10"/>
            <w:vAlign w:val="center"/>
          </w:tcPr>
          <w:p w14:paraId="7FC39AEF" w14:textId="7DFB89C4" w:rsidR="000C3AF7" w:rsidRPr="000C3AF7" w:rsidRDefault="00B33C64" w:rsidP="00B33C64">
            <w:pPr>
              <w:spacing w:after="120" w:line="264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33C64">
              <w:rPr>
                <w:rFonts w:ascii="Times New Roman" w:hAnsi="Times New Roman" w:cs="Times New Roman"/>
                <w:b/>
                <w:sz w:val="18"/>
                <w:szCs w:val="18"/>
              </w:rPr>
              <w:t>Supplementary</w:t>
            </w:r>
            <w: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 </w:t>
            </w:r>
            <w:r w:rsidR="00257AA5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 xml:space="preserve">Table </w:t>
            </w:r>
            <w:r w:rsidR="000C3AF7" w:rsidRPr="000C3AF7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2. Baseline characteristics of the patients in the included studies</w:t>
            </w:r>
          </w:p>
        </w:tc>
      </w:tr>
      <w:tr w:rsidR="000C3AF7" w:rsidRPr="000C3AF7" w14:paraId="3D006B75" w14:textId="77777777" w:rsidTr="00DF0EDC">
        <w:tc>
          <w:tcPr>
            <w:tcW w:w="1410" w:type="dxa"/>
            <w:vAlign w:val="center"/>
          </w:tcPr>
          <w:p w14:paraId="57F38DDC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Author and year</w:t>
            </w:r>
          </w:p>
        </w:tc>
        <w:tc>
          <w:tcPr>
            <w:tcW w:w="1496" w:type="dxa"/>
          </w:tcPr>
          <w:p w14:paraId="35962104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Study groups</w:t>
            </w:r>
          </w:p>
        </w:tc>
        <w:tc>
          <w:tcPr>
            <w:tcW w:w="1408" w:type="dxa"/>
          </w:tcPr>
          <w:p w14:paraId="5B7D661A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Age (years) mean (SD)</w:t>
            </w:r>
          </w:p>
        </w:tc>
        <w:tc>
          <w:tcPr>
            <w:tcW w:w="1414" w:type="dxa"/>
          </w:tcPr>
          <w:p w14:paraId="74C2D081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BMI (kg/m2) mean (SD)</w:t>
            </w:r>
          </w:p>
        </w:tc>
        <w:tc>
          <w:tcPr>
            <w:tcW w:w="1417" w:type="dxa"/>
          </w:tcPr>
          <w:p w14:paraId="70C5D5A1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Smoker N (%)</w:t>
            </w:r>
          </w:p>
        </w:tc>
        <w:tc>
          <w:tcPr>
            <w:tcW w:w="1435" w:type="dxa"/>
          </w:tcPr>
          <w:p w14:paraId="70A1699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Conception by ART N (%)</w:t>
            </w:r>
          </w:p>
        </w:tc>
        <w:tc>
          <w:tcPr>
            <w:tcW w:w="1419" w:type="dxa"/>
          </w:tcPr>
          <w:p w14:paraId="7B5B9EB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Previous ectopic N (%)</w:t>
            </w:r>
          </w:p>
        </w:tc>
        <w:tc>
          <w:tcPr>
            <w:tcW w:w="1425" w:type="dxa"/>
          </w:tcPr>
          <w:p w14:paraId="04E3BD01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Previous STD/PID N (%)</w:t>
            </w:r>
          </w:p>
        </w:tc>
        <w:tc>
          <w:tcPr>
            <w:tcW w:w="1589" w:type="dxa"/>
          </w:tcPr>
          <w:p w14:paraId="2FD6749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Pretreatment serum HCG (IU/l) median (IQR)</w:t>
            </w:r>
          </w:p>
        </w:tc>
        <w:tc>
          <w:tcPr>
            <w:tcW w:w="1387" w:type="dxa"/>
          </w:tcPr>
          <w:p w14:paraId="51441C59" w14:textId="498B08B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Patients with baseline </w:t>
            </w:r>
            <w:proofErr w:type="spellStart"/>
            <w:r w:rsidR="005F2A04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hCG</w:t>
            </w:r>
            <w:proofErr w:type="spellEnd"/>
            <w:r w:rsidRPr="000C3AF7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 xml:space="preserve"> more than 3000 (IU/l) N (%)</w:t>
            </w:r>
          </w:p>
        </w:tc>
      </w:tr>
      <w:tr w:rsidR="000C3AF7" w:rsidRPr="000C3AF7" w14:paraId="6FE622E6" w14:textId="77777777" w:rsidTr="00DF0EDC">
        <w:tc>
          <w:tcPr>
            <w:tcW w:w="1410" w:type="dxa"/>
            <w:vMerge w:val="restart"/>
            <w:vAlign w:val="center"/>
          </w:tcPr>
          <w:p w14:paraId="54273B4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Horne et. al. 2023</w:t>
            </w:r>
          </w:p>
        </w:tc>
        <w:tc>
          <w:tcPr>
            <w:tcW w:w="1496" w:type="dxa"/>
          </w:tcPr>
          <w:p w14:paraId="0019C91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Methotrexate and gefitinib</w:t>
            </w:r>
          </w:p>
        </w:tc>
        <w:tc>
          <w:tcPr>
            <w:tcW w:w="1408" w:type="dxa"/>
          </w:tcPr>
          <w:p w14:paraId="784551D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31.7 (5.6) </w:t>
            </w:r>
          </w:p>
        </w:tc>
        <w:tc>
          <w:tcPr>
            <w:tcW w:w="1414" w:type="dxa"/>
          </w:tcPr>
          <w:p w14:paraId="1660E1E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26.7 (5.9) </w:t>
            </w:r>
          </w:p>
        </w:tc>
        <w:tc>
          <w:tcPr>
            <w:tcW w:w="1417" w:type="dxa"/>
          </w:tcPr>
          <w:p w14:paraId="1DC6F85E" w14:textId="0A08D759" w:rsidR="000C3AF7" w:rsidRPr="000C3AF7" w:rsidRDefault="005F2A04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urrent smoker: 38 (24%)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Ex-smoker: 27 (17%)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Never Smoked: 95 (59</w:t>
            </w:r>
            <w:proofErr w:type="gramStart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%)   </w:t>
            </w:r>
            <w:proofErr w:type="gramEnd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Missing or unknown: 5 (3%)</w:t>
            </w:r>
          </w:p>
        </w:tc>
        <w:tc>
          <w:tcPr>
            <w:tcW w:w="1435" w:type="dxa"/>
          </w:tcPr>
          <w:p w14:paraId="7532F06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(3%)</w:t>
            </w:r>
          </w:p>
        </w:tc>
        <w:tc>
          <w:tcPr>
            <w:tcW w:w="1419" w:type="dxa"/>
          </w:tcPr>
          <w:p w14:paraId="3E3CCF52" w14:textId="629FE7A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0: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138 (84%)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1: 22 (13%)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2: 3 (2%)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≥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3: 1 (1%)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issing: 1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(0.6%)</w:t>
            </w:r>
          </w:p>
        </w:tc>
        <w:tc>
          <w:tcPr>
            <w:tcW w:w="1425" w:type="dxa"/>
          </w:tcPr>
          <w:p w14:paraId="3DEA5009" w14:textId="0D952C08" w:rsidR="000C3AF7" w:rsidRPr="000C3AF7" w:rsidRDefault="005F2A04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hlamydia: 25 (17</w:t>
            </w:r>
            <w:proofErr w:type="gramStart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%)  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gramEnd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issing or unknown: 21(13%)</w:t>
            </w:r>
          </w:p>
        </w:tc>
        <w:tc>
          <w:tcPr>
            <w:tcW w:w="1589" w:type="dxa"/>
          </w:tcPr>
          <w:p w14:paraId="610D3B8A" w14:textId="201B2D70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1972 (1457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2820)</w:t>
            </w:r>
          </w:p>
        </w:tc>
        <w:tc>
          <w:tcPr>
            <w:tcW w:w="1387" w:type="dxa"/>
          </w:tcPr>
          <w:p w14:paraId="53B207E8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≥2500: 57 (34%)</w:t>
            </w:r>
          </w:p>
        </w:tc>
      </w:tr>
      <w:tr w:rsidR="000C3AF7" w:rsidRPr="000C3AF7" w14:paraId="3890F9AE" w14:textId="77777777" w:rsidTr="00DF0EDC">
        <w:tc>
          <w:tcPr>
            <w:tcW w:w="1410" w:type="dxa"/>
            <w:vMerge/>
          </w:tcPr>
          <w:p w14:paraId="6AD5C6AA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96" w:type="dxa"/>
          </w:tcPr>
          <w:p w14:paraId="2633645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Methotrexate and placebo</w:t>
            </w:r>
          </w:p>
        </w:tc>
        <w:tc>
          <w:tcPr>
            <w:tcW w:w="1408" w:type="dxa"/>
          </w:tcPr>
          <w:p w14:paraId="1C9E205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31.7 (5.3)</w:t>
            </w:r>
          </w:p>
        </w:tc>
        <w:tc>
          <w:tcPr>
            <w:tcW w:w="1414" w:type="dxa"/>
          </w:tcPr>
          <w:p w14:paraId="794AD02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26.9 (6.3)</w:t>
            </w:r>
          </w:p>
        </w:tc>
        <w:tc>
          <w:tcPr>
            <w:tcW w:w="1417" w:type="dxa"/>
          </w:tcPr>
          <w:p w14:paraId="461FD390" w14:textId="21D3C8AD" w:rsidR="000C3AF7" w:rsidRPr="000C3AF7" w:rsidRDefault="005F2A04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urrent smoker: 36 (23%)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Ex-smoker: 32 (21%)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Never Smoked: 86 (56</w:t>
            </w:r>
            <w:proofErr w:type="gramStart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%)   </w:t>
            </w:r>
            <w:proofErr w:type="gramEnd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Missing or unknown: 8 (5%)</w:t>
            </w:r>
          </w:p>
        </w:tc>
        <w:tc>
          <w:tcPr>
            <w:tcW w:w="1435" w:type="dxa"/>
          </w:tcPr>
          <w:p w14:paraId="4E041719" w14:textId="29B9B432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(1%)</w:t>
            </w:r>
          </w:p>
        </w:tc>
        <w:tc>
          <w:tcPr>
            <w:tcW w:w="1419" w:type="dxa"/>
          </w:tcPr>
          <w:p w14:paraId="0DF7077B" w14:textId="6DCF852C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0: 133 (82%)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1: 21 (13%)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2: 7 (4%)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  <w:t>≥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3: 1 (1%)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br/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issing: 0</w:t>
            </w:r>
          </w:p>
        </w:tc>
        <w:tc>
          <w:tcPr>
            <w:tcW w:w="1425" w:type="dxa"/>
          </w:tcPr>
          <w:p w14:paraId="58E6B4A7" w14:textId="5D9BF470" w:rsidR="000C3AF7" w:rsidRPr="000C3AF7" w:rsidRDefault="005F2A04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hlamydia: 21 (15</w:t>
            </w:r>
            <w:proofErr w:type="gramStart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%)   </w:t>
            </w:r>
            <w:proofErr w:type="gramEnd"/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missing or unknown: 21(15%)</w:t>
            </w:r>
          </w:p>
        </w:tc>
        <w:tc>
          <w:tcPr>
            <w:tcW w:w="1589" w:type="dxa"/>
          </w:tcPr>
          <w:p w14:paraId="25AD42A3" w14:textId="3097BD36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2023 (1523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2809)</w:t>
            </w:r>
          </w:p>
        </w:tc>
        <w:tc>
          <w:tcPr>
            <w:tcW w:w="1387" w:type="dxa"/>
          </w:tcPr>
          <w:p w14:paraId="02E2242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≥2500: 57 (35%)</w:t>
            </w:r>
          </w:p>
        </w:tc>
      </w:tr>
      <w:tr w:rsidR="000C3AF7" w:rsidRPr="000C3AF7" w14:paraId="4A98FBA4" w14:textId="77777777" w:rsidTr="00DF0EDC">
        <w:tc>
          <w:tcPr>
            <w:tcW w:w="1410" w:type="dxa"/>
            <w:vMerge w:val="restart"/>
            <w:vAlign w:val="center"/>
          </w:tcPr>
          <w:p w14:paraId="2CC74D1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Skubisz</w:t>
            </w:r>
            <w:proofErr w:type="spellEnd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et. al. 2018</w:t>
            </w:r>
          </w:p>
        </w:tc>
        <w:tc>
          <w:tcPr>
            <w:tcW w:w="1496" w:type="dxa"/>
          </w:tcPr>
          <w:p w14:paraId="74E4999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Methotrexate and gefitinib</w:t>
            </w:r>
          </w:p>
        </w:tc>
        <w:tc>
          <w:tcPr>
            <w:tcW w:w="1408" w:type="dxa"/>
          </w:tcPr>
          <w:p w14:paraId="00E5C8F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29.9 (6.5)</w:t>
            </w:r>
          </w:p>
        </w:tc>
        <w:tc>
          <w:tcPr>
            <w:tcW w:w="1414" w:type="dxa"/>
          </w:tcPr>
          <w:p w14:paraId="0A5C9184" w14:textId="502F7A71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26.7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(5.7)</w:t>
            </w:r>
          </w:p>
        </w:tc>
        <w:tc>
          <w:tcPr>
            <w:tcW w:w="1417" w:type="dxa"/>
          </w:tcPr>
          <w:p w14:paraId="1C47353F" w14:textId="2A566A40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Current smoker: 7 (25%)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Ex-smoker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6 (21%)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Never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Smoked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15 (54%)</w:t>
            </w:r>
          </w:p>
        </w:tc>
        <w:tc>
          <w:tcPr>
            <w:tcW w:w="1435" w:type="dxa"/>
          </w:tcPr>
          <w:p w14:paraId="72D26B04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 (14%)</w:t>
            </w:r>
          </w:p>
        </w:tc>
        <w:tc>
          <w:tcPr>
            <w:tcW w:w="1419" w:type="dxa"/>
          </w:tcPr>
          <w:p w14:paraId="0D6078B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(31%)</w:t>
            </w:r>
          </w:p>
        </w:tc>
        <w:tc>
          <w:tcPr>
            <w:tcW w:w="1425" w:type="dxa"/>
          </w:tcPr>
          <w:p w14:paraId="490306A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(4%)</w:t>
            </w:r>
          </w:p>
        </w:tc>
        <w:tc>
          <w:tcPr>
            <w:tcW w:w="1589" w:type="dxa"/>
          </w:tcPr>
          <w:p w14:paraId="1423F5AA" w14:textId="7BC5145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2039 (1031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8675) </w:t>
            </w:r>
          </w:p>
        </w:tc>
        <w:tc>
          <w:tcPr>
            <w:tcW w:w="1387" w:type="dxa"/>
          </w:tcPr>
          <w:p w14:paraId="429433E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 (32%)</w:t>
            </w:r>
          </w:p>
        </w:tc>
      </w:tr>
      <w:tr w:rsidR="000C3AF7" w:rsidRPr="000C3AF7" w14:paraId="1A68D373" w14:textId="77777777" w:rsidTr="00DF0EDC">
        <w:tc>
          <w:tcPr>
            <w:tcW w:w="1410" w:type="dxa"/>
            <w:vMerge/>
          </w:tcPr>
          <w:p w14:paraId="69FA95AC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96" w:type="dxa"/>
          </w:tcPr>
          <w:p w14:paraId="4D4CD22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Methotrexate alone </w:t>
            </w:r>
          </w:p>
        </w:tc>
        <w:tc>
          <w:tcPr>
            <w:tcW w:w="1408" w:type="dxa"/>
          </w:tcPr>
          <w:p w14:paraId="172821B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14" w:type="dxa"/>
          </w:tcPr>
          <w:p w14:paraId="79A2AF70" w14:textId="487915CB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25 (4.6)</w:t>
            </w:r>
          </w:p>
        </w:tc>
        <w:tc>
          <w:tcPr>
            <w:tcW w:w="1417" w:type="dxa"/>
          </w:tcPr>
          <w:p w14:paraId="713157D7" w14:textId="65581F33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Current smoker: 4 (12.5%)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Ex-smoker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4 (12.5%)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Never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Smoked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24 (75%)</w:t>
            </w:r>
          </w:p>
        </w:tc>
        <w:tc>
          <w:tcPr>
            <w:tcW w:w="1435" w:type="dxa"/>
          </w:tcPr>
          <w:p w14:paraId="0D03D29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(6%)</w:t>
            </w:r>
          </w:p>
        </w:tc>
        <w:tc>
          <w:tcPr>
            <w:tcW w:w="1419" w:type="dxa"/>
          </w:tcPr>
          <w:p w14:paraId="66B190B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(9%)</w:t>
            </w:r>
          </w:p>
        </w:tc>
        <w:tc>
          <w:tcPr>
            <w:tcW w:w="1425" w:type="dxa"/>
          </w:tcPr>
          <w:p w14:paraId="450A85D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(18%)</w:t>
            </w:r>
          </w:p>
        </w:tc>
        <w:tc>
          <w:tcPr>
            <w:tcW w:w="1589" w:type="dxa"/>
          </w:tcPr>
          <w:p w14:paraId="3FBE5C02" w14:textId="6E3C6544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2083 (1058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4985)</w:t>
            </w:r>
          </w:p>
        </w:tc>
        <w:tc>
          <w:tcPr>
            <w:tcW w:w="1387" w:type="dxa"/>
          </w:tcPr>
          <w:p w14:paraId="04DC81B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 (22%)</w:t>
            </w:r>
          </w:p>
        </w:tc>
      </w:tr>
      <w:tr w:rsidR="000C3AF7" w:rsidRPr="000C3AF7" w14:paraId="2A9B21D8" w14:textId="77777777" w:rsidTr="00DF0EDC">
        <w:tc>
          <w:tcPr>
            <w:tcW w:w="1410" w:type="dxa"/>
            <w:vMerge w:val="restart"/>
            <w:vAlign w:val="center"/>
          </w:tcPr>
          <w:p w14:paraId="42849C5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Skubisz</w:t>
            </w:r>
            <w:proofErr w:type="spellEnd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 al 2013</w:t>
            </w:r>
          </w:p>
        </w:tc>
        <w:tc>
          <w:tcPr>
            <w:tcW w:w="1496" w:type="dxa"/>
          </w:tcPr>
          <w:p w14:paraId="746DE2C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Methotrexate and gefitinib</w:t>
            </w:r>
          </w:p>
        </w:tc>
        <w:tc>
          <w:tcPr>
            <w:tcW w:w="1408" w:type="dxa"/>
          </w:tcPr>
          <w:p w14:paraId="36A3040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31.5 (5.9)</w:t>
            </w:r>
          </w:p>
        </w:tc>
        <w:tc>
          <w:tcPr>
            <w:tcW w:w="1414" w:type="dxa"/>
          </w:tcPr>
          <w:p w14:paraId="26DF537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26.7 (6.3)</w:t>
            </w:r>
          </w:p>
        </w:tc>
        <w:tc>
          <w:tcPr>
            <w:tcW w:w="1417" w:type="dxa"/>
          </w:tcPr>
          <w:p w14:paraId="60910564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(17%)</w:t>
            </w:r>
          </w:p>
        </w:tc>
        <w:tc>
          <w:tcPr>
            <w:tcW w:w="1435" w:type="dxa"/>
          </w:tcPr>
          <w:p w14:paraId="3688CA6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19" w:type="dxa"/>
          </w:tcPr>
          <w:p w14:paraId="38C8F18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 (17%)</w:t>
            </w:r>
          </w:p>
        </w:tc>
        <w:tc>
          <w:tcPr>
            <w:tcW w:w="1425" w:type="dxa"/>
          </w:tcPr>
          <w:p w14:paraId="0FE5F54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589" w:type="dxa"/>
          </w:tcPr>
          <w:p w14:paraId="03FE56BF" w14:textId="5EECBEBD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1593 (451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2189.5)</w:t>
            </w:r>
          </w:p>
        </w:tc>
        <w:tc>
          <w:tcPr>
            <w:tcW w:w="1387" w:type="dxa"/>
          </w:tcPr>
          <w:p w14:paraId="4F527D3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0C3AF7" w:rsidRPr="000C3AF7" w14:paraId="454AC683" w14:textId="77777777" w:rsidTr="00DF0EDC">
        <w:tc>
          <w:tcPr>
            <w:tcW w:w="1410" w:type="dxa"/>
            <w:vMerge/>
            <w:vAlign w:val="center"/>
          </w:tcPr>
          <w:p w14:paraId="1C6E140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96" w:type="dxa"/>
          </w:tcPr>
          <w:p w14:paraId="4603A2C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Methotrexate alone</w:t>
            </w:r>
          </w:p>
        </w:tc>
        <w:tc>
          <w:tcPr>
            <w:tcW w:w="1408" w:type="dxa"/>
          </w:tcPr>
          <w:p w14:paraId="1489137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30.7 (5.9)</w:t>
            </w:r>
          </w:p>
        </w:tc>
        <w:tc>
          <w:tcPr>
            <w:tcW w:w="1414" w:type="dxa"/>
          </w:tcPr>
          <w:p w14:paraId="69BBE41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17" w:type="dxa"/>
          </w:tcPr>
          <w:p w14:paraId="682B155C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20(28%)</w:t>
            </w:r>
          </w:p>
        </w:tc>
        <w:tc>
          <w:tcPr>
            <w:tcW w:w="1435" w:type="dxa"/>
          </w:tcPr>
          <w:p w14:paraId="57DF48A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19" w:type="dxa"/>
          </w:tcPr>
          <w:p w14:paraId="2BF42862" w14:textId="54429FFB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11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(16%)</w:t>
            </w:r>
          </w:p>
        </w:tc>
        <w:tc>
          <w:tcPr>
            <w:tcW w:w="1425" w:type="dxa"/>
          </w:tcPr>
          <w:p w14:paraId="50BE0407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PID: 13 (18%)</w:t>
            </w:r>
          </w:p>
        </w:tc>
        <w:tc>
          <w:tcPr>
            <w:tcW w:w="1589" w:type="dxa"/>
          </w:tcPr>
          <w:p w14:paraId="24AD64E0" w14:textId="667B269A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1646 (1357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2212)</w:t>
            </w:r>
          </w:p>
        </w:tc>
        <w:tc>
          <w:tcPr>
            <w:tcW w:w="1387" w:type="dxa"/>
          </w:tcPr>
          <w:p w14:paraId="2B03A12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</w:tr>
      <w:tr w:rsidR="000C3AF7" w:rsidRPr="000C3AF7" w14:paraId="5B2E6C28" w14:textId="77777777" w:rsidTr="00DF0EDC">
        <w:tc>
          <w:tcPr>
            <w:tcW w:w="1410" w:type="dxa"/>
            <w:vAlign w:val="center"/>
          </w:tcPr>
          <w:p w14:paraId="60AE6BE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Horne et al 2014</w:t>
            </w:r>
          </w:p>
        </w:tc>
        <w:tc>
          <w:tcPr>
            <w:tcW w:w="1496" w:type="dxa"/>
          </w:tcPr>
          <w:p w14:paraId="1E6E4E5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Methotrexate and gefitinib</w:t>
            </w:r>
          </w:p>
        </w:tc>
        <w:tc>
          <w:tcPr>
            <w:tcW w:w="1408" w:type="dxa"/>
          </w:tcPr>
          <w:p w14:paraId="08C130A3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31.25 (6.69)</w:t>
            </w:r>
          </w:p>
        </w:tc>
        <w:tc>
          <w:tcPr>
            <w:tcW w:w="1414" w:type="dxa"/>
          </w:tcPr>
          <w:p w14:paraId="76739170" w14:textId="5F2CDD53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28.7 (4.5)</w:t>
            </w:r>
          </w:p>
        </w:tc>
        <w:tc>
          <w:tcPr>
            <w:tcW w:w="1417" w:type="dxa"/>
          </w:tcPr>
          <w:p w14:paraId="4A9F66AE" w14:textId="487E20B6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Smoker : 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EX-smoker: 3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Never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="005F2A04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Smoked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: 4</w:t>
            </w:r>
          </w:p>
        </w:tc>
        <w:tc>
          <w:tcPr>
            <w:tcW w:w="1435" w:type="dxa"/>
          </w:tcPr>
          <w:p w14:paraId="6032F7C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19" w:type="dxa"/>
          </w:tcPr>
          <w:p w14:paraId="1E57791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</w:p>
        </w:tc>
        <w:tc>
          <w:tcPr>
            <w:tcW w:w="1425" w:type="dxa"/>
          </w:tcPr>
          <w:p w14:paraId="1CCD0FE5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589" w:type="dxa"/>
          </w:tcPr>
          <w:p w14:paraId="01E781F0" w14:textId="22AA3D16" w:rsidR="000C3AF7" w:rsidRPr="000C3AF7" w:rsidRDefault="008B4175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(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2458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="000C3AF7"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48550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1387" w:type="dxa"/>
          </w:tcPr>
          <w:p w14:paraId="29707B14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 (75%)</w:t>
            </w:r>
          </w:p>
        </w:tc>
      </w:tr>
      <w:tr w:rsidR="000C3AF7" w:rsidRPr="000C3AF7" w14:paraId="03FE5EF3" w14:textId="77777777" w:rsidTr="00DF0EDC">
        <w:tc>
          <w:tcPr>
            <w:tcW w:w="1410" w:type="dxa"/>
            <w:vMerge w:val="restart"/>
            <w:vAlign w:val="center"/>
          </w:tcPr>
          <w:p w14:paraId="1EF82CB9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Italiano</w:t>
            </w:r>
            <w:proofErr w:type="spellEnd"/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et al 2019</w:t>
            </w:r>
          </w:p>
        </w:tc>
        <w:tc>
          <w:tcPr>
            <w:tcW w:w="1496" w:type="dxa"/>
          </w:tcPr>
          <w:p w14:paraId="31D88827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Methotrexate and gefitinib</w:t>
            </w:r>
          </w:p>
          <w:p w14:paraId="5AEC1CE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08" w:type="dxa"/>
          </w:tcPr>
          <w:p w14:paraId="2F1EAB5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</w:t>
            </w:r>
          </w:p>
          <w:p w14:paraId="46A0942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</w:tcPr>
          <w:p w14:paraId="1961858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17" w:type="dxa"/>
          </w:tcPr>
          <w:p w14:paraId="4D4D27B9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35" w:type="dxa"/>
          </w:tcPr>
          <w:p w14:paraId="23F9B23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(100%)</w:t>
            </w:r>
          </w:p>
          <w:p w14:paraId="3D367877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</w:tcPr>
          <w:p w14:paraId="6DB84592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425" w:type="dxa"/>
          </w:tcPr>
          <w:p w14:paraId="5151D1CC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589" w:type="dxa"/>
          </w:tcPr>
          <w:p w14:paraId="4AEA5E58" w14:textId="1D84BD96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11603 </w:t>
            </w:r>
          </w:p>
          <w:p w14:paraId="1C322AA4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87" w:type="dxa"/>
          </w:tcPr>
          <w:p w14:paraId="4B9A92C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</w:tr>
      <w:tr w:rsidR="000C3AF7" w:rsidRPr="000C3AF7" w14:paraId="305486FA" w14:textId="77777777" w:rsidTr="00DF0EDC">
        <w:tc>
          <w:tcPr>
            <w:tcW w:w="1410" w:type="dxa"/>
            <w:vMerge/>
            <w:tcBorders>
              <w:bottom w:val="single" w:sz="4" w:space="0" w:color="auto"/>
            </w:tcBorders>
            <w:vAlign w:val="center"/>
          </w:tcPr>
          <w:p w14:paraId="508D44A7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14:paraId="568F933B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Methotrexate alone 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5D103318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35.27 (4.9)</w:t>
            </w:r>
          </w:p>
          <w:p w14:paraId="518518CD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4" w:type="dxa"/>
            <w:tcBorders>
              <w:bottom w:val="single" w:sz="4" w:space="0" w:color="auto"/>
            </w:tcBorders>
          </w:tcPr>
          <w:p w14:paraId="7A155EB0" w14:textId="70CBC9BE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26.6 (5.8)</w:t>
            </w:r>
          </w:p>
          <w:p w14:paraId="20DE8D8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14E97819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  <w:p w14:paraId="5BB1260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360DD229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 (11%)</w:t>
            </w:r>
          </w:p>
          <w:p w14:paraId="4B443806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14:paraId="132622D0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 (6.5%)</w:t>
            </w:r>
          </w:p>
          <w:p w14:paraId="391236D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0ACFAA0F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  <w:tc>
          <w:tcPr>
            <w:tcW w:w="1589" w:type="dxa"/>
            <w:tcBorders>
              <w:bottom w:val="single" w:sz="4" w:space="0" w:color="auto"/>
            </w:tcBorders>
          </w:tcPr>
          <w:p w14:paraId="5BBBB8E5" w14:textId="60405011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7990 (1546</w:t>
            </w:r>
            <w:r w:rsidR="005F2A0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-</w:t>
            </w: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9994)</w:t>
            </w:r>
          </w:p>
          <w:p w14:paraId="4BB112EA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387" w:type="dxa"/>
            <w:tcBorders>
              <w:bottom w:val="single" w:sz="4" w:space="0" w:color="auto"/>
            </w:tcBorders>
          </w:tcPr>
          <w:p w14:paraId="632F8029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NR</w:t>
            </w:r>
          </w:p>
        </w:tc>
      </w:tr>
      <w:tr w:rsidR="000C3AF7" w:rsidRPr="000C3AF7" w14:paraId="46425A75" w14:textId="77777777" w:rsidTr="00DF0EDC">
        <w:tc>
          <w:tcPr>
            <w:tcW w:w="14400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35CAF5BE" w14:textId="77777777" w:rsidR="000C3AF7" w:rsidRPr="000C3AF7" w:rsidRDefault="000C3AF7" w:rsidP="000C3AF7">
            <w:pPr>
              <w:spacing w:after="120" w:line="264" w:lineRule="auto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0C3AF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BMI: Body mass index. NR: not reported. ART: Assisted reproductive techniques. STD: Sexually transmitted disease. PID: pelvic inflammatory disease. HCG: Human chorionic gonadotropin. IU: International unit.</w:t>
            </w:r>
          </w:p>
        </w:tc>
      </w:tr>
    </w:tbl>
    <w:p w14:paraId="53DD2769" w14:textId="77777777" w:rsidR="0071736A" w:rsidRPr="000C3AF7" w:rsidRDefault="0071736A">
      <w:pPr>
        <w:rPr>
          <w:lang w:val="en-US"/>
        </w:rPr>
      </w:pPr>
    </w:p>
    <w:sectPr w:rsidR="0071736A" w:rsidRPr="000C3AF7" w:rsidSect="000C3AF7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FFFFFF89"/>
    <w:multiLevelType w:val="singleLevel"/>
    <w:tmpl w:val="BD0CF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263456">
    <w:abstractNumId w:val="1"/>
  </w:num>
  <w:num w:numId="2" w16cid:durableId="592905652">
    <w:abstractNumId w:val="2"/>
  </w:num>
  <w:num w:numId="3" w16cid:durableId="733553337">
    <w:abstractNumId w:val="0"/>
  </w:num>
  <w:num w:numId="4" w16cid:durableId="172112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3AF7"/>
    <w:rsid w:val="00017305"/>
    <w:rsid w:val="000C3AF7"/>
    <w:rsid w:val="00143BF2"/>
    <w:rsid w:val="00257AA5"/>
    <w:rsid w:val="002E7868"/>
    <w:rsid w:val="004A052A"/>
    <w:rsid w:val="005B0D97"/>
    <w:rsid w:val="005F2A04"/>
    <w:rsid w:val="00694087"/>
    <w:rsid w:val="0071736A"/>
    <w:rsid w:val="007350C1"/>
    <w:rsid w:val="008B4175"/>
    <w:rsid w:val="00A51C09"/>
    <w:rsid w:val="00B33C64"/>
    <w:rsid w:val="00C409BA"/>
    <w:rsid w:val="00D15992"/>
    <w:rsid w:val="00D17C4C"/>
    <w:rsid w:val="00D42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C37FD29"/>
  <w15:chartTrackingRefBased/>
  <w15:docId w15:val="{9D3C0744-F97D-F04F-8B3C-1BC0272F2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S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86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2E7868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rsid w:val="002E7868"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92278F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wHeading">
    <w:name w:val="Row Heading"/>
    <w:basedOn w:val="Normal"/>
    <w:uiPriority w:val="5"/>
    <w:semiHidden/>
    <w:qFormat/>
    <w:rsid w:val="002E7868"/>
    <w:rPr>
      <w:b/>
      <w:bCs/>
    </w:rPr>
  </w:style>
  <w:style w:type="paragraph" w:customStyle="1" w:styleId="FormHeading">
    <w:name w:val="Form Heading"/>
    <w:basedOn w:val="Normal"/>
    <w:uiPriority w:val="3"/>
    <w:semiHidden/>
    <w:qFormat/>
    <w:rsid w:val="002E7868"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rsid w:val="002E7868"/>
    <w:pPr>
      <w:spacing w:after="320"/>
    </w:pPr>
  </w:style>
  <w:style w:type="paragraph" w:customStyle="1" w:styleId="Details">
    <w:name w:val="Details"/>
    <w:basedOn w:val="Normal"/>
    <w:qFormat/>
    <w:rsid w:val="002E7868"/>
    <w:pPr>
      <w:spacing w:after="360"/>
      <w:contextualSpacing/>
    </w:pPr>
    <w:rPr>
      <w:sz w:val="28"/>
    </w:rPr>
  </w:style>
  <w:style w:type="character" w:customStyle="1" w:styleId="Heading1Char">
    <w:name w:val="Heading 1 Char"/>
    <w:basedOn w:val="DefaultParagraphFont"/>
    <w:link w:val="Heading1"/>
    <w:uiPriority w:val="4"/>
    <w:rsid w:val="002E7868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6"/>
    <w:semiHidden/>
    <w:rsid w:val="002E7868"/>
    <w:rPr>
      <w:rFonts w:asciiTheme="majorHAnsi" w:eastAsiaTheme="majorEastAsia" w:hAnsiTheme="majorHAnsi" w:cstheme="majorBidi"/>
      <w:color w:val="92278F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rsid w:val="002E7868"/>
    <w:pPr>
      <w:spacing w:after="0" w:line="240" w:lineRule="auto"/>
      <w:jc w:val="right"/>
    </w:pPr>
    <w:rPr>
      <w:color w:val="92278F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E7868"/>
    <w:rPr>
      <w:color w:val="92278F" w:themeColor="accent1"/>
      <w:sz w:val="24"/>
      <w:szCs w:val="20"/>
    </w:rPr>
  </w:style>
  <w:style w:type="paragraph" w:styleId="ListBullet">
    <w:name w:val="List Bullet"/>
    <w:basedOn w:val="Normal"/>
    <w:uiPriority w:val="10"/>
    <w:qFormat/>
    <w:rsid w:val="002E7868"/>
    <w:pPr>
      <w:spacing w:before="100" w:after="100" w:line="240" w:lineRule="auto"/>
      <w:ind w:left="720" w:hanging="360"/>
      <w:contextualSpacing/>
    </w:pPr>
    <w:rPr>
      <w:color w:val="auto"/>
      <w:sz w:val="22"/>
      <w:szCs w:val="21"/>
    </w:rPr>
  </w:style>
  <w:style w:type="paragraph" w:styleId="ListNumber">
    <w:name w:val="List Number"/>
    <w:basedOn w:val="Normal"/>
    <w:uiPriority w:val="9"/>
    <w:semiHidden/>
    <w:qFormat/>
    <w:rsid w:val="002E7868"/>
    <w:pPr>
      <w:numPr>
        <w:numId w:val="4"/>
      </w:numPr>
      <w:spacing w:after="200"/>
    </w:pPr>
  </w:style>
  <w:style w:type="paragraph" w:styleId="Title">
    <w:name w:val="Title"/>
    <w:basedOn w:val="Normal"/>
    <w:next w:val="Normal"/>
    <w:link w:val="TitleChar"/>
    <w:uiPriority w:val="6"/>
    <w:qFormat/>
    <w:rsid w:val="002E7868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2E7868"/>
    <w:rPr>
      <w:rFonts w:asciiTheme="majorHAnsi" w:hAnsiTheme="majorHAnsi"/>
      <w:b/>
      <w:caps/>
      <w:color w:val="auto"/>
      <w:sz w:val="52"/>
      <w:szCs w:val="20"/>
    </w:rPr>
  </w:style>
  <w:style w:type="character" w:styleId="Emphasis">
    <w:name w:val="Emphasis"/>
    <w:basedOn w:val="DefaultParagraphFont"/>
    <w:uiPriority w:val="20"/>
    <w:qFormat/>
    <w:rsid w:val="002E7868"/>
    <w:rPr>
      <w:i/>
      <w:iCs/>
    </w:rPr>
  </w:style>
  <w:style w:type="paragraph" w:styleId="ListParagraph">
    <w:name w:val="List Paragraph"/>
    <w:basedOn w:val="Normal"/>
    <w:uiPriority w:val="34"/>
    <w:unhideWhenUsed/>
    <w:qFormat/>
    <w:rsid w:val="002E7868"/>
    <w:pPr>
      <w:ind w:left="720"/>
      <w:contextualSpacing/>
    </w:pPr>
  </w:style>
  <w:style w:type="table" w:styleId="TableGrid">
    <w:name w:val="Table Grid"/>
    <w:basedOn w:val="TableNormal"/>
    <w:uiPriority w:val="39"/>
    <w:rsid w:val="000C3A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82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نوره بنت حسين بن ذيب بن سعيد القنطاش</dc:creator>
  <cp:keywords/>
  <dc:description/>
  <cp:lastModifiedBy>نوره بنت حسين بن ذيب بن سعيد القنطاش</cp:lastModifiedBy>
  <cp:revision>4</cp:revision>
  <dcterms:created xsi:type="dcterms:W3CDTF">2025-06-23T05:59:00Z</dcterms:created>
  <dcterms:modified xsi:type="dcterms:W3CDTF">2025-08-18T20:48:00Z</dcterms:modified>
</cp:coreProperties>
</file>